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D325E59" wp14:editId="105A76FE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2D8" w:rsidRPr="00004062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004062" w:rsidRDefault="005602D8" w:rsidP="005602D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02D8" w:rsidRPr="00004062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602D8" w:rsidRPr="00500087" w:rsidRDefault="00210553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жовтня</w:t>
      </w:r>
      <w:r w:rsidR="009544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5602D8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23A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45891" w:rsidRPr="00E4589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45891" w:rsidRPr="00F827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E4589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560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5602D8" w:rsidRPr="00500087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602D8" w:rsidRPr="00500087" w:rsidRDefault="005602D8" w:rsidP="00560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323AA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2C3981" w:rsidRPr="002C3981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34/пс-23</w:t>
      </w:r>
    </w:p>
    <w:p w:rsidR="005602D8" w:rsidRPr="001D1804" w:rsidRDefault="005602D8" w:rsidP="005602D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5602D8" w:rsidRPr="00E45891" w:rsidRDefault="005602D8" w:rsidP="005602D8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E45891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5602D8" w:rsidRPr="00E45891" w:rsidRDefault="005602D8" w:rsidP="005602D8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головуючого – Ігнатова Р.М.,</w:t>
      </w:r>
    </w:p>
    <w:p w:rsidR="005602D8" w:rsidRPr="00E45891" w:rsidRDefault="005602D8" w:rsidP="005602D8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членів Комісії: </w:t>
      </w:r>
      <w:proofErr w:type="spellStart"/>
      <w:r w:rsidR="00BB05A6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Богоноса</w:t>
      </w:r>
      <w:proofErr w:type="spellEnd"/>
      <w:r w:rsidR="00BB05A6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М.Б., </w:t>
      </w:r>
      <w:proofErr w:type="spellStart"/>
      <w:r w:rsidR="003174C3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Гацелюка</w:t>
      </w:r>
      <w:proofErr w:type="spellEnd"/>
      <w:r w:rsidR="003174C3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В.О., </w:t>
      </w:r>
      <w:proofErr w:type="spellStart"/>
      <w:r w:rsidR="004938ED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Кобецької</w:t>
      </w:r>
      <w:proofErr w:type="spellEnd"/>
      <w:r w:rsidR="004938ED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Н.Р., </w:t>
      </w:r>
      <w:r w:rsidR="00BB05A6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Мельника Р.І., </w:t>
      </w:r>
      <w:r w:rsid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br/>
      </w:r>
      <w:r w:rsidR="00BB05A6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Пасічника А.В., Шевчук </w:t>
      </w:r>
      <w:r w:rsidR="00DD28B3"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E458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Г.М.,</w:t>
      </w:r>
    </w:p>
    <w:p w:rsidR="005602D8" w:rsidRPr="00E45891" w:rsidRDefault="005602D8" w:rsidP="005602D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E45891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до </w:t>
      </w:r>
      <w:r w:rsidR="00210553" w:rsidRPr="00E45891">
        <w:rPr>
          <w:rFonts w:ascii="Times New Roman" w:hAnsi="Times New Roman" w:cs="Times New Roman"/>
          <w:sz w:val="25"/>
          <w:szCs w:val="25"/>
          <w:lang w:val="uk-UA"/>
        </w:rPr>
        <w:t>Західного апеляційного господарського суду</w:t>
      </w:r>
      <w:r w:rsidRPr="00E45891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5602D8" w:rsidRPr="00E45891" w:rsidRDefault="005602D8" w:rsidP="005602D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5602D8" w:rsidRPr="00E45891" w:rsidRDefault="00707AE0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До</w:t>
      </w:r>
      <w:r w:rsidR="00323AA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Вищої</w:t>
      </w:r>
      <w:r w:rsidR="00323AA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кваліфіка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ційної комісії</w:t>
      </w:r>
      <w:r w:rsidR="00323AA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суддів України 21</w:t>
      </w:r>
      <w:r w:rsidR="00323AA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10553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вересня</w:t>
      </w:r>
      <w:r w:rsidR="00323AA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2023</w:t>
      </w:r>
      <w:r w:rsidR="00E45891" w:rsidRPr="00E4589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року</w:t>
      </w:r>
      <w:r w:rsidR="007F5B4E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(за</w:t>
      </w:r>
      <w:r w:rsidR="008D5DA9">
        <w:rPr>
          <w:rFonts w:ascii="Times New Roman" w:hAnsi="Times New Roman" w:cs="Times New Roman"/>
          <w:bCs/>
          <w:sz w:val="25"/>
          <w:szCs w:val="25"/>
          <w:lang w:val="en-US"/>
        </w:rPr>
        <w:t> 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вх.</w:t>
      </w:r>
      <w:r w:rsidR="008D5DA9">
        <w:rPr>
          <w:rFonts w:ascii="Times New Roman" w:hAnsi="Times New Roman" w:cs="Times New Roman"/>
          <w:bCs/>
          <w:sz w:val="25"/>
          <w:szCs w:val="25"/>
          <w:lang w:val="en-US"/>
        </w:rPr>
        <w:t> 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№</w:t>
      </w:r>
      <w:r w:rsidR="008D5DA9">
        <w:rPr>
          <w:rFonts w:ascii="Times New Roman" w:hAnsi="Times New Roman" w:cs="Times New Roman"/>
          <w:bCs/>
          <w:sz w:val="25"/>
          <w:szCs w:val="25"/>
          <w:lang w:val="en-US"/>
        </w:rPr>
        <w:t> 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32дпс-1</w:t>
      </w:r>
      <w:r w:rsidR="00210553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84</w:t>
      </w:r>
      <w:r w:rsidR="007F5B4E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/23)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надійшло повідомлення Державної судової адміністрації України </w:t>
      </w:r>
      <w:r w:rsidR="005948FE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(далі – ДСА України)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про ная</w:t>
      </w:r>
      <w:r w:rsidR="00D75F7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вність </w:t>
      </w:r>
      <w:r w:rsidR="00C05C2E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пі</w:t>
      </w:r>
      <w:r w:rsidR="005B27D6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дстав для відрядження </w:t>
      </w:r>
      <w:r w:rsidR="00210553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одного судді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210553" w:rsidRPr="00E45891">
        <w:rPr>
          <w:rFonts w:ascii="Times New Roman" w:hAnsi="Times New Roman" w:cs="Times New Roman"/>
          <w:sz w:val="25"/>
          <w:szCs w:val="25"/>
          <w:lang w:val="uk-UA"/>
        </w:rPr>
        <w:t>Західного апеляційного господарського суду</w:t>
      </w:r>
      <w:r w:rsidR="00C05C2E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5602D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виявленням надмірного рівня судового навантаження в цьому суді.</w:t>
      </w:r>
    </w:p>
    <w:p w:rsidR="00210553" w:rsidRPr="00E45891" w:rsidRDefault="00210553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За інформацією ДСА України, рішенням Вищої ради правосуддя від 24 серпня 2023</w:t>
      </w:r>
      <w:r w:rsidR="008D5DA9">
        <w:rPr>
          <w:rFonts w:ascii="Times New Roman" w:hAnsi="Times New Roman" w:cs="Times New Roman"/>
          <w:bCs/>
          <w:sz w:val="25"/>
          <w:szCs w:val="25"/>
          <w:lang w:val="en-US"/>
        </w:rPr>
        <w:t> 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року №</w:t>
      </w:r>
      <w:r w:rsidR="00707AE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853/0/15-23 «Про визначення кількості суддів у місцевих та апеляційних судах» у Західному апеляційному господарському суді визначено 28 посад суддів</w:t>
      </w:r>
      <w:r w:rsidR="00A8180F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, фактично перебувають на посадах 12 суддів.</w:t>
      </w:r>
    </w:p>
    <w:p w:rsidR="00A8180F" w:rsidRPr="00E45891" w:rsidRDefault="00A8180F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За даними звітності за перше півріччя 2023 року, середня кількість днів</w:t>
      </w:r>
      <w:r w:rsidR="009224C0" w:rsidRPr="009224C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9224C0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по Україн</w:t>
      </w:r>
      <w:r w:rsidR="002C3981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, необхідних для розгляду справ та матеріалів, що надійшли до апеляційних господарських судів, становить 204 дні для одн</w:t>
      </w:r>
      <w:r w:rsidR="009224C0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:rsidR="00A8180F" w:rsidRPr="00E45891" w:rsidRDefault="00A8180F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У Західному апеляційному господарському суді середня кількість днів, необхідних для розгляд</w:t>
      </w:r>
      <w:r w:rsidR="00136F4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у справ одним повноважним суддею</w:t>
      </w:r>
      <w:r w:rsidR="009224C0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становить 233 дні, тобто </w:t>
      </w:r>
      <w:r w:rsidR="00136F47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перевищує середній показник по Україні, що дає ДСА України підстави стверджувати про наявність у суді надмірного навантаження.</w:t>
      </w:r>
    </w:p>
    <w:p w:rsidR="00136F47" w:rsidRPr="00E45891" w:rsidRDefault="00136F47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ДСА України під час розгляду Комісією питання щодо внесення подання про відрядження суддів до Західного апеляційного господарського суду пропонує врахувати той факт, що відрядження судді з апеляційних господарських суддів, які перебувають в стані ліквідації, не вплине на доступ до правосуддя в цих судах.</w:t>
      </w:r>
    </w:p>
    <w:p w:rsidR="007F7EB7" w:rsidRPr="00E45891" w:rsidRDefault="007F5B4E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>Відповідно до протоколу розподілу між членами Вищої кваліфікаційно</w:t>
      </w:r>
      <w:r w:rsidR="00DB1768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ї комісії суддів України від 21 </w:t>
      </w:r>
      <w:r w:rsidR="00F45A95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>вересня</w:t>
      </w:r>
      <w:r w:rsidR="00DB1768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2023 року</w:t>
      </w:r>
      <w:r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доповідачем за повідомленням ДСА України визначено члена Вищої кваліфікаційної комісі</w:t>
      </w:r>
      <w:r w:rsidR="00DB1768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ї суддів України </w:t>
      </w:r>
      <w:proofErr w:type="spellStart"/>
      <w:r w:rsidR="00464D0D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>Гацелюка</w:t>
      </w:r>
      <w:proofErr w:type="spellEnd"/>
      <w:r w:rsidR="00464D0D" w:rsidRPr="00E4589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</w:t>
      </w:r>
      <w:r w:rsidR="009224C0">
        <w:rPr>
          <w:rFonts w:ascii="Times New Roman" w:eastAsia="Times New Roman" w:hAnsi="Times New Roman"/>
          <w:sz w:val="25"/>
          <w:szCs w:val="25"/>
          <w:lang w:val="uk-UA" w:eastAsia="ru-RU"/>
        </w:rPr>
        <w:t>В.О.</w:t>
      </w:r>
    </w:p>
    <w:p w:rsidR="007F7EB7" w:rsidRPr="00E45891" w:rsidRDefault="007F7EB7" w:rsidP="009F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</w:t>
      </w:r>
      <w:r w:rsidR="007F2C3A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передбачено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</w:t>
      </w:r>
      <w:r w:rsidRPr="00E45891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5602D8" w:rsidRPr="00E45891" w:rsidRDefault="005602D8" w:rsidP="00714131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Відповідно до вимог пункту 1 розділу </w:t>
      </w:r>
      <w:r w:rsidRPr="00E45891">
        <w:rPr>
          <w:rFonts w:ascii="Times New Roman" w:eastAsia="Calibri" w:hAnsi="Times New Roman" w:cs="Times New Roman"/>
          <w:sz w:val="25"/>
          <w:szCs w:val="25"/>
        </w:rPr>
        <w:t>III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відрядження с</w:t>
      </w:r>
      <w:r w:rsidR="00E72C2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удді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до іншого суду того самого рівня і спеціалізації (як тимчасового переведення), затвердженого рішенням</w:t>
      </w:r>
      <w:r w:rsidR="00323AA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Вищої</w:t>
      </w:r>
      <w:r w:rsidR="00323AA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ради правосуддя від 24 січня 2017</w:t>
      </w:r>
      <w:r w:rsidR="00323AA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рок</w:t>
      </w:r>
      <w:r w:rsidR="00E72C2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у</w:t>
      </w:r>
      <w:r w:rsidR="00697EE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№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54/0/15-17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(далі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–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Порядок),</w:t>
      </w:r>
      <w:r w:rsidR="00323AA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E2269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питання щодо внесення до Вищої ради правосуддя подання про відрядження суддів до </w:t>
      </w:r>
      <w:r w:rsidR="00464D0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Західного апеляційного господарського суду </w:t>
      </w:r>
      <w:r w:rsidR="00E2269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здійснення правосуддя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призначено до розгляду </w:t>
      </w:r>
      <w:r w:rsidR="00E2269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</w:t>
      </w:r>
      <w:r w:rsidR="0071413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1</w:t>
      </w:r>
      <w:r w:rsidR="002116FC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8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2116FC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жовтня</w:t>
      </w:r>
      <w:r w:rsidR="0071413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5441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2023 року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5602D8" w:rsidRPr="00E45891" w:rsidRDefault="005602D8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Згідно з вимогами пункту 2 розділу </w:t>
      </w:r>
      <w:r w:rsidRPr="00E45891">
        <w:rPr>
          <w:rFonts w:ascii="Times New Roman" w:eastAsia="Calibri" w:hAnsi="Times New Roman" w:cs="Times New Roman"/>
          <w:sz w:val="25"/>
          <w:szCs w:val="25"/>
        </w:rPr>
        <w:t>III</w:t>
      </w:r>
      <w:r w:rsidR="007F2C3A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Порядку на офіційному </w:t>
      </w:r>
      <w:proofErr w:type="spellStart"/>
      <w:r w:rsidR="007F2C3A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веб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сайті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Комісії </w:t>
      </w:r>
      <w:r w:rsidR="002116FC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25</w:t>
      </w:r>
      <w:r w:rsidR="00436C09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="002116FC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вересня</w:t>
      </w:r>
      <w:r w:rsidR="009748BC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2023 року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розміщено оголошення про призначення до розгляду зазначеного питання</w:t>
      </w:r>
      <w:r w:rsidR="00C54452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, у якому</w:t>
      </w:r>
      <w:r w:rsidR="0095441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вказано</w:t>
      </w:r>
      <w:r w:rsidR="00571A2F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5441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семиденний </w:t>
      </w:r>
      <w:r w:rsidR="00571A2F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строк</w:t>
      </w:r>
      <w:r w:rsidR="009F348E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452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і</w:t>
      </w:r>
      <w:r w:rsidR="00954418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з дн</w:t>
      </w:r>
      <w:r w:rsidR="007F2C3A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я оприлюднення цього оголошення</w:t>
      </w:r>
      <w:r w:rsidR="009F348E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</w:t>
      </w:r>
      <w:r w:rsidR="009F348E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для </w:t>
      </w:r>
      <w:r w:rsidR="00E2269D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надання суддями, які виявили бажання бути відрядженими до вказаного суду, документів, визначених пунктом </w:t>
      </w:r>
      <w:r w:rsidR="008273E8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5</w:t>
      </w:r>
      <w:r w:rsidR="00E2269D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розділу </w:t>
      </w:r>
      <w:r w:rsidR="008273E8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ІІІ</w:t>
      </w:r>
      <w:r w:rsidR="00E2269D" w:rsidRPr="00E4589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Порядку.</w:t>
      </w:r>
    </w:p>
    <w:p w:rsidR="002116FC" w:rsidRPr="00E45891" w:rsidRDefault="002116FC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У зазначений в оголошенні строк до Комісії зі згодою на відрядження до Західного апеляційного господарського суду 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звернулась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суддя </w:t>
      </w:r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Львівського апеляційного господарського суду </w:t>
      </w:r>
      <w:proofErr w:type="spellStart"/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Ірина Богданівна.</w:t>
      </w:r>
    </w:p>
    <w:p w:rsidR="00B759E6" w:rsidRPr="00E45891" w:rsidRDefault="00F82711" w:rsidP="00B759E6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У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засідання Комісії</w:t>
      </w:r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суддя </w:t>
      </w:r>
      <w:proofErr w:type="spellStart"/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 не з’явилась. Згідно з пунктом 8 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розділу ІІІ </w:t>
      </w:r>
      <w:r w:rsidR="00B759E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Порядку неявка судді не перешкоджає розгляду призначеного питання.</w:t>
      </w:r>
    </w:p>
    <w:p w:rsidR="00B759E6" w:rsidRPr="00E45891" w:rsidRDefault="00B759E6" w:rsidP="00B759E6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Відповідно до пункту 10 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</w:p>
    <w:p w:rsidR="00B759E6" w:rsidRPr="00E45891" w:rsidRDefault="00B759E6" w:rsidP="00B759E6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Комісією можуть бути враховані й інші обставини, встановлені під час розгляду питання щодо відрядження судді.</w:t>
      </w:r>
    </w:p>
    <w:p w:rsidR="00B759E6" w:rsidRPr="00E45891" w:rsidRDefault="0046201F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Заслухавши доповідача – члена Вищої кваліфікаційної комісії суддів України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Гацелюка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В.О., проаналізувавши інформацію, наявну в матеріалах щодо відрядження, Вища кваліфікаційна комісія суддів України у складі Першої палати встановила таке.</w:t>
      </w:r>
    </w:p>
    <w:p w:rsidR="00F144ED" w:rsidRPr="00E45891" w:rsidRDefault="00F144ED" w:rsidP="00F144E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>І.Б.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Указом Президента України від 14 жовтня 2002 року № 926/2002 призначена строком на п’ять років на посаду судді Шевченківського районного суду міста Львова, Постановою Верховної Ради України від 10 квітня 2008 року № 261-VI обрана суддею безстроково, Постановою Верховної Ради України від 17 листопада 2011 року №</w:t>
      </w:r>
      <w:r w:rsidR="008D5DA9">
        <w:rPr>
          <w:rFonts w:ascii="Times New Roman" w:eastAsia="Calibri" w:hAnsi="Times New Roman" w:cs="Times New Roman"/>
          <w:sz w:val="25"/>
          <w:szCs w:val="25"/>
          <w:lang w:val="en-US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4048-VI обрана на посаду судді Львівського апеляційного господарського суду.</w:t>
      </w:r>
    </w:p>
    <w:p w:rsidR="00B20A5E" w:rsidRPr="00E45891" w:rsidRDefault="00B20A5E" w:rsidP="00F144E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Стаж роботи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 на посаді судді становить понад 20 років.</w:t>
      </w:r>
    </w:p>
    <w:p w:rsidR="00F144ED" w:rsidRPr="00E45891" w:rsidRDefault="00F144ED" w:rsidP="00F144E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Указом Президента України від 29 грудня 2017 року № 454/2017 «Про ліквідацію апеляційних господарських судів та утворення апеляційних господарських судів в апеляційних округах» ліквідовано Львівський апеляційний господарський суд та утворено Західний апеляційний господарський суд в апеляційному окрузі, що включає Закарпатську, Івано-Франківську, Львівську, Тернопільську та Чернівецьку області, з місцезнаходженням у місті Львові.</w:t>
      </w:r>
    </w:p>
    <w:p w:rsidR="00F144ED" w:rsidRPr="00E45891" w:rsidRDefault="00F144ED" w:rsidP="00697EEB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Вища кваліфікаційна комісія суддів України рішенням від 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>0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1 жовтня 2018 року №</w:t>
      </w:r>
      <w:r w:rsidR="008D5DA9">
        <w:rPr>
          <w:rFonts w:ascii="Times New Roman" w:eastAsia="Calibri" w:hAnsi="Times New Roman" w:cs="Times New Roman"/>
          <w:sz w:val="25"/>
          <w:szCs w:val="25"/>
          <w:lang w:val="en-US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1794/ко-18 визначила, що суддя Львівського апеляційного господарського суду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8D5DA9">
        <w:rPr>
          <w:rFonts w:ascii="Times New Roman" w:eastAsia="Calibri" w:hAnsi="Times New Roman" w:cs="Times New Roman"/>
          <w:sz w:val="25"/>
          <w:szCs w:val="25"/>
          <w:lang w:val="en-US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І.Б. є такою, що не відповідає займаній посаді, та рекомендувала Вищій раді правосуддя розглянути питання про її звільнення з посади судді.</w:t>
      </w:r>
    </w:p>
    <w:p w:rsidR="00F144ED" w:rsidRPr="00E45891" w:rsidRDefault="00F144ED" w:rsidP="00F144E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Рішенням Вищої ради правосуддя від 15 жовтня 2019 року № 2749/0/15-19 відмовлено у задоволенні подання Комісії про звільнення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 з посади судді Львівського апеляційного господарського суду.</w:t>
      </w:r>
    </w:p>
    <w:p w:rsidR="0046201F" w:rsidRPr="00E45891" w:rsidRDefault="00F144ED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Рішенням Вищої ради правосуддя від 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>0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7 вересня 2021 року № 1939/0/-15-21 суддю Львівського апеляційного господарського суду </w:t>
      </w:r>
      <w:proofErr w:type="spellStart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</w:t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  <w:r w:rsidR="009224C0" w:rsidRPr="009224C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proofErr w:type="spellStart"/>
      <w:r w:rsidR="009224C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відряджено</w:t>
      </w:r>
      <w:proofErr w:type="spellEnd"/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до Західного апеляційного господарського суду для здійснення правосуддя строком на один рік з</w:t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13</w:t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вересня 2021 року. Рішенням Голови Верховного Суду від 31 серпня 2022 року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lastRenderedPageBreak/>
        <w:t>№</w:t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> 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407/0/149-22 продовжено </w:t>
      </w:r>
      <w:r w:rsidR="00B20A5E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на один рік з 13 вересня 2022 року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строк відрядження судді </w:t>
      </w:r>
      <w:proofErr w:type="spellStart"/>
      <w:r w:rsidR="00B20A5E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B20A5E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</w:t>
      </w:r>
    </w:p>
    <w:p w:rsidR="00B20A5E" w:rsidRPr="00E45891" w:rsidRDefault="00965CFE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Згідно з довідкою, наданою головою ліквідаційної комісії Львівського апеляційного господарськог</w:t>
      </w:r>
      <w:r w:rsidR="009224C0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о суду,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кількість справ, розглянутих суддею </w:t>
      </w:r>
      <w:proofErr w:type="spellStart"/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у 202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році, становить: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господарські справи: </w:t>
      </w:r>
      <w:r w:rsidR="00026D5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–</w:t>
      </w:r>
      <w:r w:rsidR="00026D5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139, з яких </w:t>
      </w:r>
      <w:r w:rsidR="00026D56">
        <w:rPr>
          <w:rFonts w:ascii="Times New Roman" w:eastAsia="Calibri" w:hAnsi="Times New Roman" w:cs="Times New Roman"/>
          <w:sz w:val="25"/>
          <w:szCs w:val="25"/>
          <w:lang w:val="uk-UA"/>
        </w:rPr>
        <w:t>скасованих – 10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, змінених – 1</w:t>
      </w:r>
      <w:r w:rsidR="00026D56">
        <w:rPr>
          <w:rFonts w:ascii="Times New Roman" w:eastAsia="Calibri" w:hAnsi="Times New Roman" w:cs="Times New Roman"/>
          <w:sz w:val="25"/>
          <w:szCs w:val="25"/>
          <w:lang w:val="uk-UA"/>
        </w:rPr>
        <w:t>;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у 2023 році (</w:t>
      </w:r>
      <w:r w:rsidR="00026D56">
        <w:rPr>
          <w:rFonts w:ascii="Times New Roman" w:eastAsia="Calibri" w:hAnsi="Times New Roman" w:cs="Times New Roman"/>
          <w:sz w:val="25"/>
          <w:szCs w:val="25"/>
          <w:lang w:val="uk-UA"/>
        </w:rPr>
        <w:t>до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12 вересня) </w:t>
      </w:r>
      <w:r w:rsidR="00026D56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–</w:t>
      </w:r>
      <w:r w:rsidR="00026D56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126, з яких скасованих – 4, змінених – 2. </w:t>
      </w:r>
    </w:p>
    <w:p w:rsidR="00E96028" w:rsidRPr="00E45891" w:rsidRDefault="00026D56" w:rsidP="00E9602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З огляду на викладене, ураховуючи</w:t>
      </w:r>
      <w:r w:rsidR="00453C9B">
        <w:rPr>
          <w:rFonts w:ascii="Times New Roman" w:eastAsia="Calibri" w:hAnsi="Times New Roman" w:cs="Times New Roman"/>
          <w:sz w:val="25"/>
          <w:szCs w:val="25"/>
          <w:lang w:val="uk-UA"/>
        </w:rPr>
        <w:t>,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що Львівський апеляційний господарський суд припинив свою роботу, відрядження судді </w:t>
      </w:r>
      <w:proofErr w:type="spellStart"/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 </w:t>
      </w:r>
      <w:r w:rsidR="00260A2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 вплине на доступ до правосуддя </w:t>
      </w:r>
      <w:r w:rsidR="004F5D11">
        <w:rPr>
          <w:rFonts w:ascii="Times New Roman" w:eastAsia="Calibri" w:hAnsi="Times New Roman" w:cs="Times New Roman"/>
          <w:sz w:val="25"/>
          <w:szCs w:val="25"/>
          <w:lang w:val="uk-UA"/>
        </w:rPr>
        <w:t>в</w:t>
      </w:r>
      <w:r w:rsidR="00260A2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цьому суді, натомість дасть змогу врегулювати навантаження </w:t>
      </w:r>
      <w:r w:rsidR="00C54351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у Західному апеляційному господарському суді</w:t>
      </w:r>
      <w:r w:rsidR="009257D5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,</w:t>
      </w:r>
      <w:r w:rsidR="00260A2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Комісія вважає за доцільне відрядити</w:t>
      </w:r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суддю Львівського апеляційного господарського суду </w:t>
      </w:r>
      <w:proofErr w:type="spellStart"/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І.Б. до </w:t>
      </w:r>
      <w:r w:rsidR="00E96028" w:rsidRPr="00E45891">
        <w:rPr>
          <w:rFonts w:ascii="Times New Roman" w:hAnsi="Times New Roman" w:cs="Times New Roman"/>
          <w:bCs/>
          <w:sz w:val="25"/>
          <w:szCs w:val="25"/>
          <w:lang w:val="uk-UA"/>
        </w:rPr>
        <w:t>Західного апеляційного господарського суду строком на один рік.</w:t>
      </w:r>
    </w:p>
    <w:p w:rsidR="00260A2D" w:rsidRPr="00E45891" w:rsidRDefault="00260A2D" w:rsidP="00697EEB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</w:t>
      </w:r>
      <w:r w:rsidR="00697EEB">
        <w:rPr>
          <w:rFonts w:ascii="Times New Roman" w:eastAsia="Calibri" w:hAnsi="Times New Roman" w:cs="Times New Roman"/>
          <w:sz w:val="25"/>
          <w:szCs w:val="25"/>
          <w:lang w:val="uk-UA"/>
        </w:rPr>
        <w:t>рішення, зокрема</w:t>
      </w:r>
      <w:r w:rsidR="00453C9B">
        <w:rPr>
          <w:rFonts w:ascii="Times New Roman" w:eastAsia="Calibri" w:hAnsi="Times New Roman" w:cs="Times New Roman"/>
          <w:sz w:val="25"/>
          <w:szCs w:val="25"/>
          <w:lang w:val="uk-UA"/>
        </w:rPr>
        <w:t>,</w:t>
      </w:r>
      <w:r w:rsidR="00697EE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про внесення подання до Вищої ради правосуддя з рек</w:t>
      </w:r>
      <w:r w:rsidR="00697EEB">
        <w:rPr>
          <w:rFonts w:ascii="Times New Roman" w:eastAsia="Calibri" w:hAnsi="Times New Roman" w:cs="Times New Roman"/>
          <w:sz w:val="25"/>
          <w:szCs w:val="25"/>
          <w:lang w:val="uk-UA"/>
        </w:rPr>
        <w:t>омендацією на відрядження судді.</w:t>
      </w:r>
    </w:p>
    <w:p w:rsidR="00260A2D" w:rsidRPr="00E45891" w:rsidRDefault="00260A2D" w:rsidP="00260A2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Абзацом першим пункту 1</w:t>
      </w:r>
      <w:r w:rsidR="004F5D11">
        <w:rPr>
          <w:rFonts w:ascii="Times New Roman" w:eastAsia="Calibri" w:hAnsi="Times New Roman" w:cs="Times New Roman"/>
          <w:sz w:val="25"/>
          <w:szCs w:val="25"/>
          <w:lang w:val="uk-UA"/>
        </w:rPr>
        <w:t>2</w:t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розділу ІІІ Порядку визначено, що у рішенні Вищої кваліфікаційної комісії суддів України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260A2D" w:rsidRPr="00E45891" w:rsidRDefault="00260A2D" w:rsidP="00260A2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</w:t>
      </w:r>
    </w:p>
    <w:p w:rsidR="00260A2D" w:rsidRPr="00E45891" w:rsidRDefault="00260A2D" w:rsidP="00260A2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E96028" w:rsidRPr="00E45891" w:rsidRDefault="00260A2D" w:rsidP="004938ED">
      <w:pPr>
        <w:tabs>
          <w:tab w:val="left" w:pos="7740"/>
        </w:tabs>
        <w:spacing w:after="0" w:line="20" w:lineRule="atLeast"/>
        <w:ind w:firstLine="794"/>
        <w:jc w:val="center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вирішила:</w:t>
      </w:r>
    </w:p>
    <w:p w:rsidR="00E96028" w:rsidRPr="00E45891" w:rsidRDefault="00E96028" w:rsidP="00E9602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6201F" w:rsidRPr="00E45891" w:rsidRDefault="004F5D11" w:rsidP="004F5D11">
      <w:pPr>
        <w:tabs>
          <w:tab w:val="left" w:pos="7740"/>
        </w:tabs>
        <w:spacing w:after="0" w:line="20" w:lineRule="atLeas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в</w:t>
      </w:r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нести до Вищої ради правосуддя подання з рекомендацією на відрядження до </w:t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Західного апеляційного господарського суду </w:t>
      </w:r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для здійсненн</w:t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я правосуддя строком на один</w:t>
      </w:r>
      <w:r w:rsidR="00E96028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рік</w:t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судді Львівського апеляційного господарського суду </w:t>
      </w:r>
      <w:proofErr w:type="spellStart"/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Малех</w:t>
      </w:r>
      <w:proofErr w:type="spellEnd"/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Ірини Богданівн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и</w:t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.</w:t>
      </w:r>
    </w:p>
    <w:p w:rsidR="0046201F" w:rsidRPr="00E45891" w:rsidRDefault="0046201F" w:rsidP="005602D8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707AE0" w:rsidRPr="00E45891" w:rsidRDefault="00707AE0" w:rsidP="004938ED">
      <w:pPr>
        <w:tabs>
          <w:tab w:val="left" w:pos="7740"/>
        </w:tabs>
        <w:spacing w:after="0" w:line="20" w:lineRule="atLeas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4938ED" w:rsidRPr="00E45891" w:rsidRDefault="008D5DA9" w:rsidP="008D5DA9">
      <w:pPr>
        <w:spacing w:after="0" w:line="240" w:lineRule="exac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>Головуючий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Р.М. Ігнатов</w:t>
      </w:r>
    </w:p>
    <w:p w:rsidR="004938ED" w:rsidRPr="00E45891" w:rsidRDefault="004938ED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  <w:t xml:space="preserve">   </w:t>
      </w:r>
    </w:p>
    <w:p w:rsidR="00707AE0" w:rsidRPr="00E45891" w:rsidRDefault="004938ED" w:rsidP="00697EEB">
      <w:pPr>
        <w:tabs>
          <w:tab w:val="left" w:pos="7740"/>
        </w:tabs>
        <w:spacing w:after="0" w:line="240" w:lineRule="exac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Члени Комісії:</w:t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53C9B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М.Б. </w:t>
      </w:r>
      <w:proofErr w:type="spellStart"/>
      <w:r w:rsidR="00453C9B">
        <w:rPr>
          <w:rFonts w:ascii="Times New Roman" w:eastAsia="Calibri" w:hAnsi="Times New Roman" w:cs="Times New Roman"/>
          <w:sz w:val="25"/>
          <w:szCs w:val="25"/>
          <w:lang w:val="uk-UA"/>
        </w:rPr>
        <w:t>Богоні</w:t>
      </w:r>
      <w:r w:rsidR="00707AE0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с</w:t>
      </w:r>
      <w:proofErr w:type="spellEnd"/>
    </w:p>
    <w:p w:rsidR="004938ED" w:rsidRPr="00E45891" w:rsidRDefault="004938ED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                </w:t>
      </w:r>
    </w:p>
    <w:p w:rsidR="004938ED" w:rsidRPr="00E45891" w:rsidRDefault="008D5DA9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В.О. </w:t>
      </w:r>
      <w:proofErr w:type="spellStart"/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Гацелюк</w:t>
      </w:r>
      <w:proofErr w:type="spellEnd"/>
    </w:p>
    <w:p w:rsidR="004938ED" w:rsidRPr="00E45891" w:rsidRDefault="00707AE0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Н.Р. </w:t>
      </w:r>
      <w:proofErr w:type="spellStart"/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Кобецька</w:t>
      </w:r>
      <w:proofErr w:type="spellEnd"/>
    </w:p>
    <w:p w:rsidR="004938ED" w:rsidRPr="00E45891" w:rsidRDefault="008D5DA9" w:rsidP="00697EEB">
      <w:pPr>
        <w:tabs>
          <w:tab w:val="left" w:pos="7740"/>
        </w:tabs>
        <w:spacing w:after="0" w:line="240" w:lineRule="exact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Р.І. Мельник</w:t>
      </w:r>
    </w:p>
    <w:p w:rsidR="008D5DA9" w:rsidRDefault="008D5DA9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</w:p>
    <w:p w:rsidR="004938ED" w:rsidRPr="00E45891" w:rsidRDefault="008D5DA9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А.В. Пасічник</w:t>
      </w:r>
    </w:p>
    <w:p w:rsidR="008D5DA9" w:rsidRDefault="009257D5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 w:rsidR="008D5DA9"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</w:p>
    <w:p w:rsidR="004938ED" w:rsidRPr="00E45891" w:rsidRDefault="008D5DA9" w:rsidP="00697EEB">
      <w:pPr>
        <w:tabs>
          <w:tab w:val="left" w:pos="7740"/>
        </w:tabs>
        <w:spacing w:after="0" w:line="240" w:lineRule="exact"/>
        <w:ind w:firstLine="794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ab/>
      </w:r>
      <w:bookmarkStart w:id="0" w:name="_GoBack"/>
      <w:bookmarkEnd w:id="0"/>
      <w:r w:rsidR="004938ED" w:rsidRPr="00E45891">
        <w:rPr>
          <w:rFonts w:ascii="Times New Roman" w:eastAsia="Calibri" w:hAnsi="Times New Roman" w:cs="Times New Roman"/>
          <w:sz w:val="25"/>
          <w:szCs w:val="25"/>
          <w:lang w:val="uk-UA"/>
        </w:rPr>
        <w:t>Г.М. Шевчук</w:t>
      </w:r>
    </w:p>
    <w:sectPr w:rsidR="004938ED" w:rsidRPr="00E45891" w:rsidSect="00E45891">
      <w:headerReference w:type="default" r:id="rId9"/>
      <w:pgSz w:w="11906" w:h="16838"/>
      <w:pgMar w:top="1134" w:right="45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A9" w:rsidRDefault="008D5DA9" w:rsidP="003F2A93">
      <w:pPr>
        <w:spacing w:after="0" w:line="240" w:lineRule="auto"/>
      </w:pPr>
      <w:r>
        <w:separator/>
      </w:r>
    </w:p>
  </w:endnote>
  <w:endnote w:type="continuationSeparator" w:id="0">
    <w:p w:rsidR="008D5DA9" w:rsidRDefault="008D5DA9" w:rsidP="003F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A9" w:rsidRDefault="008D5DA9" w:rsidP="003F2A93">
      <w:pPr>
        <w:spacing w:after="0" w:line="240" w:lineRule="auto"/>
      </w:pPr>
      <w:r>
        <w:separator/>
      </w:r>
    </w:p>
  </w:footnote>
  <w:footnote w:type="continuationSeparator" w:id="0">
    <w:p w:rsidR="008D5DA9" w:rsidRDefault="008D5DA9" w:rsidP="003F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472380"/>
      <w:docPartObj>
        <w:docPartGallery w:val="Page Numbers (Top of Page)"/>
        <w:docPartUnique/>
      </w:docPartObj>
    </w:sdtPr>
    <w:sdtContent>
      <w:p w:rsidR="008D5DA9" w:rsidRDefault="008D5D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613">
          <w:rPr>
            <w:noProof/>
          </w:rPr>
          <w:t>3</w:t>
        </w:r>
        <w:r>
          <w:fldChar w:fldCharType="end"/>
        </w:r>
      </w:p>
    </w:sdtContent>
  </w:sdt>
  <w:p w:rsidR="008D5DA9" w:rsidRDefault="008D5D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F"/>
    <w:rsid w:val="00007F48"/>
    <w:rsid w:val="000116F3"/>
    <w:rsid w:val="0002575D"/>
    <w:rsid w:val="00026D56"/>
    <w:rsid w:val="0005214D"/>
    <w:rsid w:val="00056C7B"/>
    <w:rsid w:val="000625E5"/>
    <w:rsid w:val="00091FDE"/>
    <w:rsid w:val="000B5D98"/>
    <w:rsid w:val="000F3925"/>
    <w:rsid w:val="00131452"/>
    <w:rsid w:val="00136F47"/>
    <w:rsid w:val="001A14A0"/>
    <w:rsid w:val="001A54FA"/>
    <w:rsid w:val="001B6F63"/>
    <w:rsid w:val="001C66A4"/>
    <w:rsid w:val="001E716A"/>
    <w:rsid w:val="00210553"/>
    <w:rsid w:val="002116FC"/>
    <w:rsid w:val="002171CC"/>
    <w:rsid w:val="00243337"/>
    <w:rsid w:val="00243F2B"/>
    <w:rsid w:val="00260A2D"/>
    <w:rsid w:val="002939BF"/>
    <w:rsid w:val="002B466A"/>
    <w:rsid w:val="002C3981"/>
    <w:rsid w:val="003174C3"/>
    <w:rsid w:val="00322586"/>
    <w:rsid w:val="00323AA0"/>
    <w:rsid w:val="003420AC"/>
    <w:rsid w:val="00373613"/>
    <w:rsid w:val="003A1325"/>
    <w:rsid w:val="003A544E"/>
    <w:rsid w:val="003B3379"/>
    <w:rsid w:val="003F030D"/>
    <w:rsid w:val="003F19A5"/>
    <w:rsid w:val="003F2A93"/>
    <w:rsid w:val="00436C09"/>
    <w:rsid w:val="00453C9B"/>
    <w:rsid w:val="0046201F"/>
    <w:rsid w:val="00464D0D"/>
    <w:rsid w:val="004938ED"/>
    <w:rsid w:val="004C0D30"/>
    <w:rsid w:val="004F3B3A"/>
    <w:rsid w:val="004F5D11"/>
    <w:rsid w:val="005160C5"/>
    <w:rsid w:val="005602D8"/>
    <w:rsid w:val="00561A38"/>
    <w:rsid w:val="00562425"/>
    <w:rsid w:val="00571A2F"/>
    <w:rsid w:val="005948FE"/>
    <w:rsid w:val="005B27D6"/>
    <w:rsid w:val="006120B5"/>
    <w:rsid w:val="00617F27"/>
    <w:rsid w:val="00624CF7"/>
    <w:rsid w:val="0063107D"/>
    <w:rsid w:val="00676A8A"/>
    <w:rsid w:val="00696813"/>
    <w:rsid w:val="00697EEB"/>
    <w:rsid w:val="00707AE0"/>
    <w:rsid w:val="00714131"/>
    <w:rsid w:val="007825AD"/>
    <w:rsid w:val="00783903"/>
    <w:rsid w:val="007A3944"/>
    <w:rsid w:val="007F2C3A"/>
    <w:rsid w:val="007F5B4E"/>
    <w:rsid w:val="007F7EB7"/>
    <w:rsid w:val="00815761"/>
    <w:rsid w:val="008273E8"/>
    <w:rsid w:val="008B26C7"/>
    <w:rsid w:val="008B6BA7"/>
    <w:rsid w:val="008D5DA9"/>
    <w:rsid w:val="00907AF1"/>
    <w:rsid w:val="009224C0"/>
    <w:rsid w:val="00923C6C"/>
    <w:rsid w:val="009257D5"/>
    <w:rsid w:val="00954418"/>
    <w:rsid w:val="00965CFE"/>
    <w:rsid w:val="009748BC"/>
    <w:rsid w:val="0097797E"/>
    <w:rsid w:val="0099788B"/>
    <w:rsid w:val="009F348E"/>
    <w:rsid w:val="00A2197A"/>
    <w:rsid w:val="00A241B2"/>
    <w:rsid w:val="00A64801"/>
    <w:rsid w:val="00A8180F"/>
    <w:rsid w:val="00AB7471"/>
    <w:rsid w:val="00B20A5E"/>
    <w:rsid w:val="00B554C4"/>
    <w:rsid w:val="00B67517"/>
    <w:rsid w:val="00B759E6"/>
    <w:rsid w:val="00B962BF"/>
    <w:rsid w:val="00BA0275"/>
    <w:rsid w:val="00BB05A6"/>
    <w:rsid w:val="00BC5481"/>
    <w:rsid w:val="00BC6E08"/>
    <w:rsid w:val="00C01FB8"/>
    <w:rsid w:val="00C05C2E"/>
    <w:rsid w:val="00C51E31"/>
    <w:rsid w:val="00C54351"/>
    <w:rsid w:val="00C54452"/>
    <w:rsid w:val="00CA2A73"/>
    <w:rsid w:val="00CD71C8"/>
    <w:rsid w:val="00D3660A"/>
    <w:rsid w:val="00D75F77"/>
    <w:rsid w:val="00DA570B"/>
    <w:rsid w:val="00DB1768"/>
    <w:rsid w:val="00DB76BF"/>
    <w:rsid w:val="00DD28B3"/>
    <w:rsid w:val="00DF6F9B"/>
    <w:rsid w:val="00E064FC"/>
    <w:rsid w:val="00E0747B"/>
    <w:rsid w:val="00E10DFB"/>
    <w:rsid w:val="00E2269D"/>
    <w:rsid w:val="00E45891"/>
    <w:rsid w:val="00E634AF"/>
    <w:rsid w:val="00E72C26"/>
    <w:rsid w:val="00E96028"/>
    <w:rsid w:val="00ED1415"/>
    <w:rsid w:val="00F144ED"/>
    <w:rsid w:val="00F45A95"/>
    <w:rsid w:val="00F5061E"/>
    <w:rsid w:val="00F663D8"/>
    <w:rsid w:val="00F670FC"/>
    <w:rsid w:val="00F7336F"/>
    <w:rsid w:val="00F82711"/>
    <w:rsid w:val="00FB7121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A93"/>
  </w:style>
  <w:style w:type="paragraph" w:styleId="a7">
    <w:name w:val="footer"/>
    <w:basedOn w:val="a"/>
    <w:link w:val="a8"/>
    <w:uiPriority w:val="99"/>
    <w:unhideWhenUsed/>
    <w:rsid w:val="003F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F4AE-7939-451A-A392-C7B4DC7A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5526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2023-10-10T09:08:00Z</cp:lastPrinted>
  <dcterms:created xsi:type="dcterms:W3CDTF">2023-10-18T12:25:00Z</dcterms:created>
  <dcterms:modified xsi:type="dcterms:W3CDTF">2023-10-20T09:38:00Z</dcterms:modified>
</cp:coreProperties>
</file>